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suppressLineNumbers w:val="0"/>
        <w:shd w:val="clear" w:fill="FFFFFF"/>
        <w:kinsoku/>
        <w:overflowPunct/>
        <w:topLinePunct w:val="0"/>
        <w:autoSpaceDE/>
        <w:autoSpaceDN/>
        <w:bidi w:val="0"/>
        <w:adjustRightInd/>
        <w:snapToGrid/>
        <w:spacing w:beforeAutospacing="0" w:afterAutospacing="0" w:line="240" w:lineRule="auto"/>
        <w:ind w:left="0" w:leftChars="0" w:right="0" w:rightChars="0" w:firstLine="0" w:firstLineChars="0"/>
        <w:jc w:val="center"/>
        <w:textAlignment w:val="auto"/>
        <w:outlineLvl w:val="9"/>
        <w:rPr>
          <w:rFonts w:hint="eastAsia" w:ascii="黑体" w:hAnsi="黑体" w:eastAsia="黑体" w:cs="黑体"/>
          <w:b/>
          <w:i w:val="0"/>
          <w:caps w:val="0"/>
          <w:color w:val="17418E"/>
          <w:spacing w:val="0"/>
          <w:sz w:val="36"/>
          <w:szCs w:val="36"/>
        </w:rPr>
      </w:pPr>
      <w:r>
        <w:rPr>
          <w:rFonts w:hint="eastAsia" w:ascii="黑体" w:hAnsi="黑体" w:eastAsia="黑体" w:cs="黑体"/>
          <w:b/>
          <w:i w:val="0"/>
          <w:caps w:val="0"/>
          <w:color w:val="17418E"/>
          <w:spacing w:val="0"/>
          <w:kern w:val="0"/>
          <w:sz w:val="36"/>
          <w:szCs w:val="36"/>
          <w:shd w:val="clear" w:fill="FFFFFF"/>
          <w:lang w:val="en-US" w:eastAsia="zh-CN" w:bidi="ar"/>
        </w:rPr>
        <w:t>关于促进融券业务发展有关事项的通知</w:t>
      </w:r>
    </w:p>
    <w:p>
      <w:pPr>
        <w:pStyle w:val="2"/>
        <w:keepNext w:val="0"/>
        <w:keepLines w:val="0"/>
        <w:pageBreakBefore w:val="0"/>
        <w:widowControl w:val="0"/>
        <w:suppressLineNumbers w:val="0"/>
        <w:kinsoku/>
        <w:wordWrap w:val="0"/>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outlineLvl w:val="9"/>
        <w:rPr>
          <w:rFonts w:hint="eastAsia" w:ascii="仿宋" w:hAnsi="仿宋" w:eastAsia="仿宋" w:cs="仿宋"/>
          <w:sz w:val="24"/>
          <w:szCs w:val="24"/>
        </w:rPr>
      </w:pPr>
      <w:r>
        <w:rPr>
          <w:rFonts w:hint="eastAsia" w:ascii="仿宋" w:hAnsi="仿宋" w:eastAsia="仿宋" w:cs="仿宋"/>
          <w:b w:val="0"/>
          <w:i w:val="0"/>
          <w:caps w:val="0"/>
          <w:color w:val="000000"/>
          <w:spacing w:val="0"/>
          <w:sz w:val="24"/>
          <w:szCs w:val="24"/>
          <w:shd w:val="clear" w:fill="FFFFFF"/>
        </w:rPr>
        <w:t>中证协发</w:t>
      </w:r>
      <w:r>
        <w:rPr>
          <w:rFonts w:hint="eastAsia" w:ascii="仿宋" w:hAnsi="仿宋" w:eastAsia="仿宋" w:cs="仿宋"/>
          <w:b w:val="0"/>
          <w:i w:val="0"/>
          <w:caps w:val="0"/>
          <w:color w:val="000000"/>
          <w:spacing w:val="0"/>
          <w:sz w:val="24"/>
          <w:szCs w:val="24"/>
          <w:shd w:val="clear" w:fill="FFFFFF"/>
          <w:lang w:val="en-US"/>
        </w:rPr>
        <w:t>[2015]80</w:t>
      </w:r>
      <w:r>
        <w:rPr>
          <w:rFonts w:hint="eastAsia" w:ascii="仿宋" w:hAnsi="仿宋" w:eastAsia="仿宋" w:cs="仿宋"/>
          <w:b w:val="0"/>
          <w:i w:val="0"/>
          <w:caps w:val="0"/>
          <w:color w:val="000000"/>
          <w:spacing w:val="0"/>
          <w:sz w:val="24"/>
          <w:szCs w:val="24"/>
          <w:shd w:val="clear" w:fill="FFFFFF"/>
        </w:rPr>
        <w:t>号</w:t>
      </w:r>
    </w:p>
    <w:p>
      <w:pPr>
        <w:pStyle w:val="2"/>
        <w:keepNext w:val="0"/>
        <w:keepLines w:val="0"/>
        <w:pageBreakBefore w:val="0"/>
        <w:widowControl w:val="0"/>
        <w:suppressLineNumbers w:val="0"/>
        <w:kinsoku/>
        <w:wordWrap w:val="0"/>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b w:val="0"/>
          <w:i w:val="0"/>
          <w:caps w:val="0"/>
          <w:color w:val="000000"/>
          <w:spacing w:val="0"/>
          <w:sz w:val="30"/>
          <w:szCs w:val="30"/>
          <w:shd w:val="clear" w:fill="FFFFFF"/>
        </w:rPr>
      </w:pPr>
    </w:p>
    <w:p>
      <w:pPr>
        <w:pStyle w:val="2"/>
        <w:keepNext w:val="0"/>
        <w:keepLines w:val="0"/>
        <w:pageBreakBefore w:val="0"/>
        <w:widowControl w:val="0"/>
        <w:suppressLineNumbers w:val="0"/>
        <w:kinsoku/>
        <w:wordWrap w:val="0"/>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各证券公司、基金公司:</w:t>
      </w:r>
    </w:p>
    <w:p>
      <w:pPr>
        <w:pStyle w:val="2"/>
        <w:keepNext w:val="0"/>
        <w:keepLines w:val="0"/>
        <w:pageBreakBefore w:val="0"/>
        <w:widowControl w:val="0"/>
        <w:suppressLineNumbers w:val="0"/>
        <w:kinsoku/>
        <w:wordWrap w:val="0"/>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融资融券业务启动五年来,融资业务快速发展,但融券业务发展仍然缓慢。为了促进融券业务发展,现就有关事项通知如下:</w:t>
      </w:r>
    </w:p>
    <w:p>
      <w:pPr>
        <w:pStyle w:val="2"/>
        <w:keepNext w:val="0"/>
        <w:keepLines w:val="0"/>
        <w:pageBreakBefore w:val="0"/>
        <w:widowControl w:val="0"/>
        <w:suppressLineNumbers w:val="0"/>
        <w:kinsoku/>
        <w:wordWrap w:val="0"/>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一、支持专业机构投资者参与融券交易,扩大融券券源。公募基金、证券公司资产管理计划等专业机构投资者设立的产品自产品成立之日起可从事融券交易。支持上述专业机构投资者在风险可控、保护持有人权益的基础上,参与融券交易和转融券证券出借,增加市场券源的供给和需求。</w:t>
      </w:r>
    </w:p>
    <w:p>
      <w:pPr>
        <w:pStyle w:val="2"/>
        <w:keepNext w:val="0"/>
        <w:keepLines w:val="0"/>
        <w:pageBreakBefore w:val="0"/>
        <w:widowControl w:val="0"/>
        <w:suppressLineNumbers w:val="0"/>
        <w:kinsoku/>
        <w:wordWrap w:val="0"/>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二、推出市场化的转融券约定申报方式,便利证券公司根据客户需求开展融券业务。允许证券出借人和借入人自主协商确定转融券的费率、期限等事项,提高成交效率,满足市场融券业务需求。</w:t>
      </w:r>
    </w:p>
    <w:p>
      <w:pPr>
        <w:pStyle w:val="2"/>
        <w:keepNext w:val="0"/>
        <w:keepLines w:val="0"/>
        <w:pageBreakBefore w:val="0"/>
        <w:widowControl w:val="0"/>
        <w:suppressLineNumbers w:val="0"/>
        <w:kinsoku/>
        <w:wordWrap w:val="0"/>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三、优化融券卖出交易机制,提高交易效率。投资者融券卖出交易型开放式指数基金(</w:t>
      </w:r>
      <w:r>
        <w:rPr>
          <w:rFonts w:hint="eastAsia" w:ascii="仿宋" w:hAnsi="仿宋" w:eastAsia="仿宋" w:cs="仿宋"/>
          <w:b w:val="0"/>
          <w:i w:val="0"/>
          <w:caps w:val="0"/>
          <w:color w:val="000000"/>
          <w:spacing w:val="0"/>
          <w:sz w:val="30"/>
          <w:szCs w:val="30"/>
          <w:shd w:val="clear" w:fill="FFFFFF"/>
          <w:lang w:val="en-US"/>
        </w:rPr>
        <w:t>ETF)</w:t>
      </w:r>
      <w:r>
        <w:rPr>
          <w:rFonts w:hint="eastAsia" w:ascii="仿宋" w:hAnsi="仿宋" w:eastAsia="仿宋" w:cs="仿宋"/>
          <w:b w:val="0"/>
          <w:i w:val="0"/>
          <w:caps w:val="0"/>
          <w:color w:val="000000"/>
          <w:spacing w:val="0"/>
          <w:sz w:val="30"/>
          <w:szCs w:val="30"/>
          <w:shd w:val="clear" w:fill="FFFFFF"/>
        </w:rPr>
        <w:t>的申报价格,应当在交易所规定的有效竞价范围内,可以低于最新成交价。融券卖出所得价款,可以用于买入或申购证券公司现金管理产品、货币市场基金以及证券交易所认可的其它高流动性证券。</w:t>
      </w:r>
    </w:p>
    <w:p>
      <w:pPr>
        <w:pStyle w:val="2"/>
        <w:keepNext w:val="0"/>
        <w:keepLines w:val="0"/>
        <w:pageBreakBefore w:val="0"/>
        <w:widowControl w:val="0"/>
        <w:suppressLineNumbers w:val="0"/>
        <w:kinsoku/>
        <w:wordWrap w:val="0"/>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四、充分发挥融券业务的市场调节作用,适时扩大融券标的证券范围。根据市场发展情况,将适合于融券卖空的股票纳入融券业务和转融券标的证券范围,充分发挥融券卖空机制的市场调节作用。近期将融券交易和转融券交易的标的证券增加至</w:t>
      </w:r>
      <w:r>
        <w:rPr>
          <w:rFonts w:hint="eastAsia" w:ascii="仿宋" w:hAnsi="仿宋" w:eastAsia="仿宋" w:cs="仿宋"/>
          <w:b w:val="0"/>
          <w:i w:val="0"/>
          <w:caps w:val="0"/>
          <w:color w:val="000000"/>
          <w:spacing w:val="0"/>
          <w:sz w:val="30"/>
          <w:szCs w:val="30"/>
          <w:shd w:val="clear" w:fill="FFFFFF"/>
          <w:lang w:val="en-US"/>
        </w:rPr>
        <w:t>1100</w:t>
      </w:r>
      <w:r>
        <w:rPr>
          <w:rFonts w:hint="eastAsia" w:ascii="仿宋" w:hAnsi="仿宋" w:eastAsia="仿宋" w:cs="仿宋"/>
          <w:b w:val="0"/>
          <w:i w:val="0"/>
          <w:caps w:val="0"/>
          <w:color w:val="000000"/>
          <w:spacing w:val="0"/>
          <w:sz w:val="30"/>
          <w:szCs w:val="30"/>
          <w:shd w:val="clear" w:fill="FFFFFF"/>
        </w:rPr>
        <w:t>只。</w:t>
      </w:r>
    </w:p>
    <w:p>
      <w:pPr>
        <w:pStyle w:val="2"/>
        <w:keepNext w:val="0"/>
        <w:keepLines w:val="0"/>
        <w:pageBreakBefore w:val="0"/>
        <w:widowControl w:val="0"/>
        <w:suppressLineNumbers w:val="0"/>
        <w:kinsoku/>
        <w:wordWrap w:val="0"/>
        <w:overflowPunct/>
        <w:topLinePunct w:val="0"/>
        <w:autoSpaceDE/>
        <w:autoSpaceDN/>
        <w:bidi w:val="0"/>
        <w:adjustRightInd/>
        <w:snapToGrid/>
        <w:spacing w:before="0" w:beforeAutospacing="0" w:after="0" w:afterAutospacing="0" w:line="240" w:lineRule="auto"/>
        <w:ind w:left="0" w:leftChars="0" w:right="0" w:rightChars="0" w:firstLine="604" w:firstLineChars="0"/>
        <w:jc w:val="both"/>
        <w:textAlignment w:val="auto"/>
        <w:outlineLvl w:val="9"/>
        <w:rPr>
          <w:rFonts w:hint="eastAsia" w:ascii="仿宋" w:hAnsi="仿宋" w:eastAsia="仿宋" w:cs="仿宋"/>
          <w:b w:val="0"/>
          <w:i w:val="0"/>
          <w:caps w:val="0"/>
          <w:color w:val="000000"/>
          <w:spacing w:val="0"/>
          <w:sz w:val="30"/>
          <w:szCs w:val="30"/>
          <w:shd w:val="clear" w:fill="FFFFFF"/>
        </w:rPr>
      </w:pPr>
      <w:r>
        <w:rPr>
          <w:rFonts w:hint="eastAsia" w:ascii="仿宋" w:hAnsi="仿宋" w:eastAsia="仿宋" w:cs="仿宋"/>
          <w:b w:val="0"/>
          <w:i w:val="0"/>
          <w:caps w:val="0"/>
          <w:color w:val="000000"/>
          <w:spacing w:val="0"/>
          <w:sz w:val="30"/>
          <w:szCs w:val="30"/>
          <w:shd w:val="clear" w:fill="FFFFFF"/>
        </w:rPr>
        <w:t>五、加强融券业务风险控制,切实防范业务风险。各证券公司、基金公司应当进一步加强融券交易的内部控制和风险管理,切实保护投资者权益,确保融券业务健康有序发展。</w:t>
      </w:r>
    </w:p>
    <w:p>
      <w:pPr>
        <w:pStyle w:val="2"/>
        <w:keepNext w:val="0"/>
        <w:keepLines w:val="0"/>
        <w:pageBreakBefore w:val="0"/>
        <w:widowControl w:val="0"/>
        <w:suppressLineNumbers w:val="0"/>
        <w:kinsoku/>
        <w:wordWrap w:val="0"/>
        <w:overflowPunct/>
        <w:topLinePunct w:val="0"/>
        <w:autoSpaceDE/>
        <w:autoSpaceDN/>
        <w:bidi w:val="0"/>
        <w:adjustRightInd/>
        <w:snapToGrid/>
        <w:spacing w:before="0" w:beforeAutospacing="0" w:after="0" w:afterAutospacing="0" w:line="240" w:lineRule="auto"/>
        <w:ind w:left="0" w:leftChars="0" w:right="0" w:rightChars="0" w:firstLine="604" w:firstLineChars="0"/>
        <w:jc w:val="both"/>
        <w:textAlignment w:val="auto"/>
        <w:outlineLvl w:val="9"/>
        <w:rPr>
          <w:rFonts w:hint="eastAsia" w:ascii="仿宋" w:hAnsi="仿宋" w:eastAsia="仿宋" w:cs="仿宋"/>
          <w:b w:val="0"/>
          <w:i w:val="0"/>
          <w:caps w:val="0"/>
          <w:color w:val="000000"/>
          <w:spacing w:val="0"/>
          <w:sz w:val="30"/>
          <w:szCs w:val="30"/>
          <w:shd w:val="clear" w:fill="FFFFFF"/>
        </w:rPr>
      </w:pPr>
    </w:p>
    <w:p>
      <w:pPr>
        <w:pStyle w:val="2"/>
        <w:keepNext w:val="0"/>
        <w:keepLines w:val="0"/>
        <w:pageBreakBefore w:val="0"/>
        <w:widowControl w:val="0"/>
        <w:suppressLineNumbers w:val="0"/>
        <w:kinsoku/>
        <w:wordWrap w:val="0"/>
        <w:overflowPunct/>
        <w:topLinePunct w:val="0"/>
        <w:autoSpaceDE/>
        <w:autoSpaceDN/>
        <w:bidi w:val="0"/>
        <w:adjustRightInd/>
        <w:snapToGrid/>
        <w:spacing w:before="0" w:beforeAutospacing="0" w:after="0" w:afterAutospacing="0" w:line="240" w:lineRule="auto"/>
        <w:ind w:left="0" w:leftChars="0" w:right="0" w:rightChars="0" w:firstLine="0" w:firstLineChars="0"/>
        <w:jc w:val="right"/>
        <w:textAlignment w:val="auto"/>
        <w:outlineLvl w:val="9"/>
        <w:rPr>
          <w:rFonts w:hint="eastAsia" w:ascii="仿宋" w:hAnsi="仿宋" w:eastAsia="仿宋" w:cs="仿宋"/>
          <w:sz w:val="30"/>
          <w:szCs w:val="30"/>
        </w:rPr>
      </w:pPr>
      <w:bookmarkStart w:id="0" w:name="_GoBack"/>
      <w:r>
        <w:rPr>
          <w:rFonts w:hint="eastAsia" w:ascii="仿宋" w:hAnsi="仿宋" w:eastAsia="仿宋" w:cs="仿宋"/>
          <w:b w:val="0"/>
          <w:i w:val="0"/>
          <w:caps w:val="0"/>
          <w:color w:val="000000"/>
          <w:spacing w:val="0"/>
          <w:sz w:val="30"/>
          <w:szCs w:val="30"/>
          <w:shd w:val="clear" w:fill="FFFFFF"/>
        </w:rPr>
        <w:t>中国证券业协会</w:t>
      </w:r>
    </w:p>
    <w:p>
      <w:pPr>
        <w:pStyle w:val="2"/>
        <w:keepNext w:val="0"/>
        <w:keepLines w:val="0"/>
        <w:pageBreakBefore w:val="0"/>
        <w:widowControl w:val="0"/>
        <w:suppressLineNumbers w:val="0"/>
        <w:kinsoku/>
        <w:wordWrap w:val="0"/>
        <w:overflowPunct/>
        <w:topLinePunct w:val="0"/>
        <w:autoSpaceDE/>
        <w:autoSpaceDN/>
        <w:bidi w:val="0"/>
        <w:adjustRightInd/>
        <w:snapToGrid/>
        <w:spacing w:before="0" w:beforeAutospacing="0" w:after="0" w:afterAutospacing="0" w:line="240" w:lineRule="auto"/>
        <w:ind w:left="0" w:leftChars="0" w:right="0" w:rightChars="0" w:firstLine="0" w:firstLineChars="0"/>
        <w:jc w:val="right"/>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中国证券投资基金业协会</w:t>
      </w:r>
    </w:p>
    <w:p>
      <w:pPr>
        <w:pStyle w:val="2"/>
        <w:keepNext w:val="0"/>
        <w:keepLines w:val="0"/>
        <w:pageBreakBefore w:val="0"/>
        <w:widowControl w:val="0"/>
        <w:suppressLineNumbers w:val="0"/>
        <w:kinsoku/>
        <w:wordWrap w:val="0"/>
        <w:overflowPunct/>
        <w:topLinePunct w:val="0"/>
        <w:autoSpaceDE/>
        <w:autoSpaceDN/>
        <w:bidi w:val="0"/>
        <w:adjustRightInd/>
        <w:snapToGrid/>
        <w:spacing w:before="0" w:beforeAutospacing="0" w:after="0" w:afterAutospacing="0" w:line="240" w:lineRule="auto"/>
        <w:ind w:left="0" w:leftChars="0" w:right="0" w:rightChars="0" w:firstLine="0" w:firstLineChars="0"/>
        <w:jc w:val="right"/>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上海证券交易所</w:t>
      </w:r>
    </w:p>
    <w:p>
      <w:pPr>
        <w:pStyle w:val="2"/>
        <w:keepNext w:val="0"/>
        <w:keepLines w:val="0"/>
        <w:pageBreakBefore w:val="0"/>
        <w:widowControl w:val="0"/>
        <w:suppressLineNumbers w:val="0"/>
        <w:kinsoku/>
        <w:wordWrap w:val="0"/>
        <w:overflowPunct/>
        <w:topLinePunct w:val="0"/>
        <w:autoSpaceDE/>
        <w:autoSpaceDN/>
        <w:bidi w:val="0"/>
        <w:adjustRightInd/>
        <w:snapToGrid/>
        <w:spacing w:before="0" w:beforeAutospacing="0" w:after="0" w:afterAutospacing="0" w:line="240" w:lineRule="auto"/>
        <w:ind w:left="0" w:leftChars="0" w:right="0" w:rightChars="0" w:firstLine="0" w:firstLineChars="0"/>
        <w:jc w:val="right"/>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深圳证券交易所</w:t>
      </w:r>
    </w:p>
    <w:p>
      <w:pPr>
        <w:pStyle w:val="2"/>
        <w:keepNext w:val="0"/>
        <w:keepLines w:val="0"/>
        <w:pageBreakBefore w:val="0"/>
        <w:widowControl w:val="0"/>
        <w:suppressLineNumbers w:val="0"/>
        <w:kinsoku/>
        <w:wordWrap w:val="0"/>
        <w:overflowPunct/>
        <w:topLinePunct w:val="0"/>
        <w:autoSpaceDE/>
        <w:autoSpaceDN/>
        <w:bidi w:val="0"/>
        <w:adjustRightInd/>
        <w:snapToGrid/>
        <w:spacing w:before="0" w:beforeAutospacing="0" w:after="0" w:afterAutospacing="0" w:line="240" w:lineRule="auto"/>
        <w:ind w:left="0" w:leftChars="0" w:right="0" w:rightChars="0" w:firstLine="0" w:firstLineChars="0"/>
        <w:jc w:val="right"/>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lang w:val="en-US"/>
        </w:rPr>
        <w:t>2015</w:t>
      </w:r>
      <w:r>
        <w:rPr>
          <w:rFonts w:hint="eastAsia" w:ascii="仿宋" w:hAnsi="仿宋" w:eastAsia="仿宋" w:cs="仿宋"/>
          <w:b w:val="0"/>
          <w:i w:val="0"/>
          <w:caps w:val="0"/>
          <w:color w:val="000000"/>
          <w:spacing w:val="0"/>
          <w:sz w:val="30"/>
          <w:szCs w:val="30"/>
          <w:shd w:val="clear" w:fill="FFFFFF"/>
        </w:rPr>
        <w:t>年</w:t>
      </w:r>
      <w:r>
        <w:rPr>
          <w:rFonts w:hint="eastAsia" w:ascii="仿宋" w:hAnsi="仿宋" w:eastAsia="仿宋" w:cs="仿宋"/>
          <w:b w:val="0"/>
          <w:i w:val="0"/>
          <w:caps w:val="0"/>
          <w:color w:val="000000"/>
          <w:spacing w:val="0"/>
          <w:sz w:val="30"/>
          <w:szCs w:val="30"/>
          <w:shd w:val="clear" w:fill="FFFFFF"/>
          <w:lang w:val="en-US"/>
        </w:rPr>
        <w:t>4</w:t>
      </w:r>
      <w:r>
        <w:rPr>
          <w:rFonts w:hint="eastAsia" w:ascii="仿宋" w:hAnsi="仿宋" w:eastAsia="仿宋" w:cs="仿宋"/>
          <w:b w:val="0"/>
          <w:i w:val="0"/>
          <w:caps w:val="0"/>
          <w:color w:val="000000"/>
          <w:spacing w:val="0"/>
          <w:sz w:val="30"/>
          <w:szCs w:val="30"/>
          <w:shd w:val="clear" w:fill="FFFFFF"/>
        </w:rPr>
        <w:t>月</w:t>
      </w:r>
      <w:r>
        <w:rPr>
          <w:rFonts w:hint="eastAsia" w:ascii="仿宋" w:hAnsi="仿宋" w:eastAsia="仿宋" w:cs="仿宋"/>
          <w:b w:val="0"/>
          <w:i w:val="0"/>
          <w:caps w:val="0"/>
          <w:color w:val="000000"/>
          <w:spacing w:val="0"/>
          <w:sz w:val="30"/>
          <w:szCs w:val="30"/>
          <w:shd w:val="clear" w:fill="FFFFFF"/>
          <w:lang w:val="en-US"/>
        </w:rPr>
        <w:t>17</w:t>
      </w:r>
      <w:r>
        <w:rPr>
          <w:rFonts w:hint="eastAsia" w:ascii="仿宋" w:hAnsi="仿宋" w:eastAsia="仿宋" w:cs="仿宋"/>
          <w:b w:val="0"/>
          <w:i w:val="0"/>
          <w:caps w:val="0"/>
          <w:color w:val="000000"/>
          <w:spacing w:val="0"/>
          <w:sz w:val="30"/>
          <w:szCs w:val="30"/>
          <w:shd w:val="clear" w:fill="FFFFFF"/>
        </w:rPr>
        <w:t>日</w:t>
      </w:r>
    </w:p>
    <w:bookmarkEnd w:id="0"/>
    <w:p>
      <w:pPr>
        <w:keepNext w:val="0"/>
        <w:keepLines w:val="0"/>
        <w:pageBreakBefore w:val="0"/>
        <w:widowControl w:val="0"/>
        <w:kinsoku/>
        <w:overflowPunct/>
        <w:topLinePunct w:val="0"/>
        <w:autoSpaceDE/>
        <w:autoSpaceDN/>
        <w:bidi w:val="0"/>
        <w:adjustRightInd/>
        <w:snapToGrid/>
        <w:spacing w:beforeAutospacing="0" w:afterAutospacing="0" w:line="240" w:lineRule="auto"/>
        <w:ind w:left="0" w:leftChars="0" w:right="0" w:rightChars="0" w:firstLine="0" w:firstLineChars="0"/>
        <w:jc w:val="both"/>
        <w:textAlignment w:val="auto"/>
        <w:outlineLvl w:val="9"/>
        <w:rPr>
          <w:rFonts w:hint="eastAsia" w:ascii="仿宋" w:hAnsi="仿宋" w:eastAsia="仿宋" w:cs="仿宋"/>
          <w:sz w:val="30"/>
          <w:szCs w:val="30"/>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微软雅黑">
    <w:panose1 w:val="020B0503020204020204"/>
    <w:charset w:val="86"/>
    <w:family w:val="auto"/>
    <w:pitch w:val="default"/>
    <w:sig w:usb0="80000287" w:usb1="280F3C52" w:usb2="00000016" w:usb3="00000000" w:csb0="0004001F"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Arial">
    <w:panose1 w:val="020B0604020202020204"/>
    <w:charset w:val="00"/>
    <w:family w:val="auto"/>
    <w:pitch w:val="default"/>
    <w:sig w:usb0="E0002AFF" w:usb1="C0007843"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97777D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4">
    <w:name w:val="Normal Table"/>
    <w:semiHidden/>
    <w:uiPriority w:val="0"/>
    <w:tblPr>
      <w:tblLayout w:type="fixed"/>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Office_10.1.0.7022_F1E327BC-269C-435d-A152-05C5408002CA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DELL</dc:creator>
  <cp:lastModifiedBy>ヾ左岸の烟づ</cp:lastModifiedBy>
  <dcterms:modified xsi:type="dcterms:W3CDTF">2018-01-04T06:32:34Z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2052-10.1.0.7022</vt:lpwstr>
  </property>
</Properties>
</file>